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832"/>
        <w:gridCol w:w="3769"/>
      </w:tblGrid>
      <w:tr w:rsidR="0007691F" w:rsidRPr="0007691F" w:rsidTr="00814B18">
        <w:trPr>
          <w:trHeight w:val="2093"/>
        </w:trPr>
        <w:tc>
          <w:tcPr>
            <w:tcW w:w="40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07691F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ыйғы районы</w:t>
            </w:r>
          </w:p>
          <w:p w:rsidR="0007691F" w:rsidRPr="0007691F" w:rsidRDefault="0007691F" w:rsidP="0007691F">
            <w:pPr>
              <w:pStyle w:val="8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07691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07691F"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07691F" w:rsidRPr="0007691F" w:rsidRDefault="0007691F" w:rsidP="0007691F"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 w:rsidRPr="0007691F"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 w:rsidRPr="0007691F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07691F"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 w:rsidRPr="0007691F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07691F"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 w:rsidRPr="0007691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7691F"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07691F" w:rsidRPr="0007691F" w:rsidRDefault="0007691F" w:rsidP="000769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691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691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07691F" w:rsidRPr="0007691F" w:rsidRDefault="0007691F" w:rsidP="0007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07691F" w:rsidRPr="0007691F" w:rsidRDefault="0007691F" w:rsidP="000769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691F">
        <w:rPr>
          <w:rFonts w:ascii="Times New Roman" w:hAnsi="Times New Roman" w:cs="Times New Roman"/>
          <w:sz w:val="28"/>
          <w:lang w:val="ba-RU"/>
        </w:rPr>
        <w:t>Ҡ</w:t>
      </w:r>
      <w:r w:rsidRPr="0007691F">
        <w:rPr>
          <w:rFonts w:ascii="Times New Roman" w:hAnsi="Times New Roman" w:cs="Times New Roman"/>
          <w:sz w:val="28"/>
        </w:rPr>
        <w:t xml:space="preserve">АРАР                                  </w:t>
      </w:r>
      <w:r w:rsidRPr="0007691F">
        <w:rPr>
          <w:rFonts w:ascii="Times New Roman" w:hAnsi="Times New Roman" w:cs="Times New Roman"/>
          <w:sz w:val="28"/>
          <w:lang w:val="ba-RU"/>
        </w:rPr>
        <w:t xml:space="preserve">         </w:t>
      </w:r>
      <w:r w:rsidRPr="0007691F">
        <w:rPr>
          <w:rFonts w:ascii="Times New Roman" w:hAnsi="Times New Roman" w:cs="Times New Roman"/>
          <w:sz w:val="28"/>
        </w:rPr>
        <w:t xml:space="preserve">       №  2                    </w:t>
      </w:r>
      <w:r w:rsidRPr="0007691F">
        <w:rPr>
          <w:rFonts w:ascii="Times New Roman" w:hAnsi="Times New Roman" w:cs="Times New Roman"/>
          <w:sz w:val="28"/>
          <w:lang w:val="ba-RU"/>
        </w:rPr>
        <w:t xml:space="preserve"> </w:t>
      </w:r>
      <w:r w:rsidRPr="0007691F">
        <w:rPr>
          <w:rFonts w:ascii="Times New Roman" w:hAnsi="Times New Roman" w:cs="Times New Roman"/>
          <w:sz w:val="28"/>
        </w:rPr>
        <w:t xml:space="preserve">  ПОСТАНОВЛЕНИЕ</w:t>
      </w:r>
    </w:p>
    <w:p w:rsidR="0007691F" w:rsidRPr="0007691F" w:rsidRDefault="0007691F" w:rsidP="000769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691F">
        <w:rPr>
          <w:rFonts w:ascii="Times New Roman" w:hAnsi="Times New Roman" w:cs="Times New Roman"/>
          <w:sz w:val="28"/>
        </w:rPr>
        <w:t xml:space="preserve">30  </w:t>
      </w:r>
      <w:r w:rsidRPr="0007691F">
        <w:rPr>
          <w:rFonts w:ascii="Times New Roman" w:hAnsi="Times New Roman" w:cs="Times New Roman"/>
          <w:sz w:val="28"/>
          <w:lang w:val="ba-RU"/>
        </w:rPr>
        <w:t>ғинуар</w:t>
      </w:r>
      <w:r w:rsidRPr="0007691F">
        <w:rPr>
          <w:rFonts w:ascii="Times New Roman" w:hAnsi="Times New Roman" w:cs="Times New Roman"/>
          <w:sz w:val="28"/>
        </w:rPr>
        <w:t xml:space="preserve">  202</w:t>
      </w:r>
      <w:r w:rsidRPr="00004F78">
        <w:rPr>
          <w:rFonts w:ascii="Times New Roman" w:hAnsi="Times New Roman" w:cs="Times New Roman"/>
          <w:sz w:val="28"/>
        </w:rPr>
        <w:t>3</w:t>
      </w:r>
      <w:r w:rsidRPr="0007691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7691F">
        <w:rPr>
          <w:rFonts w:ascii="Times New Roman" w:hAnsi="Times New Roman" w:cs="Times New Roman"/>
          <w:sz w:val="28"/>
        </w:rPr>
        <w:t>й</w:t>
      </w:r>
      <w:proofErr w:type="spellEnd"/>
      <w:r w:rsidRPr="0007691F">
        <w:rPr>
          <w:rFonts w:ascii="Times New Roman" w:hAnsi="Times New Roman" w:cs="Times New Roman"/>
          <w:sz w:val="28"/>
        </w:rPr>
        <w:t xml:space="preserve">.                     </w:t>
      </w:r>
      <w:r w:rsidRPr="0007691F">
        <w:rPr>
          <w:rFonts w:ascii="Times New Roman" w:hAnsi="Times New Roman" w:cs="Times New Roman"/>
          <w:sz w:val="28"/>
          <w:lang w:val="ba-RU"/>
        </w:rPr>
        <w:t xml:space="preserve">          </w:t>
      </w:r>
      <w:r w:rsidRPr="0007691F">
        <w:rPr>
          <w:rFonts w:ascii="Times New Roman" w:hAnsi="Times New Roman" w:cs="Times New Roman"/>
          <w:sz w:val="28"/>
        </w:rPr>
        <w:t xml:space="preserve">                       </w:t>
      </w:r>
      <w:r w:rsidRPr="0007691F">
        <w:rPr>
          <w:rFonts w:ascii="Times New Roman" w:hAnsi="Times New Roman" w:cs="Times New Roman"/>
          <w:sz w:val="28"/>
          <w:lang w:val="ba-RU"/>
        </w:rPr>
        <w:t xml:space="preserve">             </w:t>
      </w:r>
      <w:r w:rsidRPr="0007691F">
        <w:rPr>
          <w:rFonts w:ascii="Times New Roman" w:hAnsi="Times New Roman" w:cs="Times New Roman"/>
          <w:sz w:val="28"/>
        </w:rPr>
        <w:t xml:space="preserve"> 30  января  2023 г.</w:t>
      </w:r>
    </w:p>
    <w:p w:rsidR="0007691F" w:rsidRPr="0007691F" w:rsidRDefault="0007691F" w:rsidP="0007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07691F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07691F">
        <w:rPr>
          <w:rFonts w:ascii="Times New Roman" w:hAnsi="Times New Roman" w:cs="Times New Roman"/>
          <w:sz w:val="28"/>
          <w:szCs w:val="28"/>
        </w:rPr>
        <w:t xml:space="preserve">    </w:t>
      </w:r>
      <w:r w:rsidRPr="000769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691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          село </w:t>
      </w:r>
      <w:proofErr w:type="spellStart"/>
      <w:r w:rsidRPr="0007691F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07691F" w:rsidRPr="0007691F" w:rsidRDefault="00CD69F5" w:rsidP="0007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.8pt;margin-top:-27.45pt;width:436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" filled="f" stroked="f">
            <v:textbox style="mso-fit-shape-to-text:t">
              <w:txbxContent>
                <w:p w:rsidR="0007691F" w:rsidRDefault="0007691F" w:rsidP="0007691F"/>
              </w:txbxContent>
            </v:textbox>
          </v:shape>
        </w:pict>
      </w:r>
    </w:p>
    <w:p w:rsidR="0007691F" w:rsidRPr="0007691F" w:rsidRDefault="0007691F" w:rsidP="0007691F">
      <w:pPr>
        <w:pStyle w:val="ConsPlusNormal"/>
        <w:ind w:firstLine="709"/>
        <w:jc w:val="center"/>
        <w:outlineLvl w:val="0"/>
        <w:rPr>
          <w:bCs/>
          <w:szCs w:val="28"/>
        </w:rPr>
      </w:pPr>
      <w:r w:rsidRPr="0007691F">
        <w:rPr>
          <w:bCs/>
        </w:rPr>
        <w:t>Об утверждении Порядка исполнения бюджета сельского поселения</w:t>
      </w:r>
    </w:p>
    <w:p w:rsidR="0007691F" w:rsidRPr="0007691F" w:rsidRDefault="0007691F" w:rsidP="0007691F">
      <w:pPr>
        <w:pStyle w:val="ConsPlusNormal"/>
        <w:ind w:firstLine="709"/>
        <w:jc w:val="center"/>
        <w:outlineLvl w:val="0"/>
        <w:rPr>
          <w:bCs/>
        </w:rPr>
      </w:pPr>
      <w:r>
        <w:rPr>
          <w:bCs/>
        </w:rPr>
        <w:t>Душанбековский</w:t>
      </w:r>
      <w:r w:rsidRPr="0007691F">
        <w:rPr>
          <w:bCs/>
        </w:rPr>
        <w:t xml:space="preserve"> сельсовет муниципального района Кигинский район Республики Башкортостан по расходам и источникам</w:t>
      </w:r>
    </w:p>
    <w:p w:rsidR="0007691F" w:rsidRPr="0007691F" w:rsidRDefault="0007691F" w:rsidP="0007691F">
      <w:pPr>
        <w:pStyle w:val="ConsPlusNormal"/>
        <w:ind w:firstLine="709"/>
        <w:jc w:val="center"/>
        <w:outlineLvl w:val="0"/>
        <w:rPr>
          <w:bCs/>
        </w:rPr>
      </w:pPr>
      <w:r w:rsidRPr="0007691F">
        <w:rPr>
          <w:bCs/>
        </w:rPr>
        <w:t xml:space="preserve">финансирования дефицита бюджета </w:t>
      </w:r>
      <w:r>
        <w:rPr>
          <w:bCs/>
        </w:rPr>
        <w:t>Душанбековский</w:t>
      </w:r>
      <w:r w:rsidRPr="0007691F">
        <w:rPr>
          <w:bCs/>
        </w:rPr>
        <w:t xml:space="preserve"> сельсовет муниципального района Кигинский район 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219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219.2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Положением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бюджетном процессе в сельском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муниципальном районе Кигинский район Республике Башкортостан»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,у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твержденным Решением Совета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от «</w:t>
      </w:r>
      <w:r w:rsidR="00004F78">
        <w:rPr>
          <w:rFonts w:ascii="Times New Roman" w:eastAsiaTheme="minorHAnsi" w:hAnsi="Times New Roman" w:cs="Times New Roman"/>
          <w:sz w:val="28"/>
          <w:szCs w:val="28"/>
          <w:lang w:eastAsia="en-US"/>
        </w:rPr>
        <w:t>20»декабря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004F78">
        <w:rPr>
          <w:rFonts w:ascii="Times New Roman" w:eastAsiaTheme="minorHAnsi" w:hAnsi="Times New Roman" w:cs="Times New Roman"/>
          <w:sz w:val="28"/>
          <w:szCs w:val="28"/>
          <w:lang w:eastAsia="en-US"/>
        </w:rPr>
        <w:t>13 года № 26-24-5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(с изменениями и дополнениями),  Администрация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Башкортостан,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т: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r:id="rId8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</w:t>
      </w:r>
      <w:r w:rsidRPr="0007691F">
        <w:rPr>
          <w:rFonts w:ascii="Times New Roman" w:eastAsiaTheme="minorHAnsi" w:hAnsi="Times New Roman" w:cs="Times New Roman"/>
          <w:lang w:eastAsia="en-US"/>
        </w:rPr>
        <w:t>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Признать утратившими силу постановление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февраля 2021 года N 6 «Об утверждении Порядка исполнения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источникам финансирования дефицита бюджета".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769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7691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Кигинский район Республики Башкортостан (</w:t>
      </w:r>
      <w:hyperlink r:id="rId9" w:history="1">
        <w:r w:rsidRPr="000769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</w:t>
        </w:r>
      </w:hyperlink>
      <w:r w:rsidRPr="000769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691F">
        <w:rPr>
          <w:rFonts w:ascii="Times New Roman" w:hAnsi="Times New Roman" w:cs="Times New Roman"/>
          <w:sz w:val="28"/>
          <w:szCs w:val="28"/>
          <w:lang w:val="en-US"/>
        </w:rPr>
        <w:t>dushanbekovo</w:t>
      </w:r>
      <w:proofErr w:type="spellEnd"/>
      <w:r w:rsidRPr="000769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9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91F">
        <w:rPr>
          <w:rFonts w:ascii="Times New Roman" w:hAnsi="Times New Roman" w:cs="Times New Roman"/>
          <w:sz w:val="28"/>
          <w:szCs w:val="28"/>
        </w:rPr>
        <w:t>).</w:t>
      </w:r>
    </w:p>
    <w:p w:rsidR="0007691F" w:rsidRPr="0007691F" w:rsidRDefault="0007691F" w:rsidP="00076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691F" w:rsidRPr="0007691F" w:rsidRDefault="0007691F" w:rsidP="0007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91F" w:rsidRPr="0007691F" w:rsidRDefault="0007691F" w:rsidP="0007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91F" w:rsidRPr="0007691F" w:rsidRDefault="0007691F" w:rsidP="0007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91F" w:rsidRPr="0007691F" w:rsidRDefault="0007691F" w:rsidP="0007691F">
      <w:pPr>
        <w:tabs>
          <w:tab w:val="left" w:pos="1440"/>
          <w:tab w:val="left" w:pos="6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ab/>
      </w:r>
    </w:p>
    <w:p w:rsidR="0007691F" w:rsidRPr="0007691F" w:rsidRDefault="0007691F" w:rsidP="0007691F">
      <w:pPr>
        <w:tabs>
          <w:tab w:val="left" w:pos="1440"/>
          <w:tab w:val="left" w:pos="5910"/>
        </w:tabs>
        <w:spacing w:line="240" w:lineRule="auto"/>
        <w:rPr>
          <w:rFonts w:ascii="Times New Roman" w:hAnsi="Times New Roman" w:cs="Times New Roman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  <w:r w:rsidRPr="000769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Гизатуллин  Ф.А.</w:t>
      </w:r>
    </w:p>
    <w:p w:rsidR="0007691F" w:rsidRPr="0007691F" w:rsidRDefault="0007691F" w:rsidP="0007691F">
      <w:pPr>
        <w:spacing w:line="240" w:lineRule="auto"/>
        <w:rPr>
          <w:rFonts w:ascii="Times New Roman" w:hAnsi="Times New Roman" w:cs="Times New Roman"/>
        </w:rPr>
      </w:pPr>
    </w:p>
    <w:p w:rsidR="0007691F" w:rsidRPr="0007691F" w:rsidRDefault="0007691F" w:rsidP="0007691F">
      <w:pPr>
        <w:spacing w:line="240" w:lineRule="auto"/>
        <w:rPr>
          <w:rFonts w:ascii="Times New Roman" w:hAnsi="Times New Roman" w:cs="Times New Roman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C1" w:rsidRDefault="005413C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Кигинский район 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</w:p>
    <w:p w:rsidR="0007691F" w:rsidRPr="0007691F" w:rsidRDefault="0007691F" w:rsidP="005413C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2023 г. N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исполнения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Кигинский район 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5413C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1.Общие положения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10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219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219.2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(далее - БК РФ), Положением «О бюджетном процессе в сельском поселении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муниципальном районе Кигинский район Республики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 Кигинский район Республики Башкортостан.</w:t>
      </w:r>
      <w:proofErr w:type="gramEnd"/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Исполнение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предусматривает: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Кигинский район Республики Башкортостан (далее -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- администраторы) - в пределах доведенных бюджетных ассигнований по источникам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Кигинский район Республики Башкортостан (далее - средства бюджета муниципального района);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подтверждение получателями средств и администраторами (далее вместе - клиенты) денежных обязательств, подлежащих оплате за счет средств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бюджета муниципального района Кигинский район Республики Башкортостан;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санкционирование Администрацией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–А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сельского поселения) оплаты денежных обязательств клиентов, подлежащих оплате за счет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 Республики Башкортостан;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подтверждение исполнения денежных обязатель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кл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иентов, подлежащих оплате за счет средств бюджета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Казначейское обслуживание исполнения бюджета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Администрации сельского поселения.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Для осуществления и отражения операций по исполнению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Администрацию сельского поселения в УФК по Республике Башкортостан открывается казначейский счет по коду вида 03231 "средства местных бюджетов".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II. Принятие получателями средств бюджетных обязательств, подлежащих исполнению за счет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Получатель сре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Принятие бюджетных обязательств осуществляется получателем средств в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него лимитов бюджетных обязательств и бюджетных ассигнований.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и оплата получателем средств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Башкортостан, производятся в пределах, доведенных ему по кодам классификации расходов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 Республики Башкортостан лимитов бюджетных обязательств и с учетом принятых и неисполненных обязательств.</w:t>
      </w:r>
      <w:proofErr w:type="gramEnd"/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уменьшении получателю сре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гл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авным распорядителем (распорядителем) бюджетных средств ранее доведенных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6 статьи 161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БК РФ.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III. Подтверждение клиентами денежных </w:t>
      </w:r>
      <w:proofErr w:type="spellStart"/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денежных</w:t>
      </w:r>
      <w:proofErr w:type="spellEnd"/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обязательств, 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подлежащих оплате за счет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Клиент подтверждает обязанность оплатить за счет средств бюджета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денежные обязательства в соответствии с распоряжениями о совершении казначейских платежей, распоряжениями о перечислении денежных средств на банковские карты "Мир" физических лиц (далее - при совместном упоминании Распоряжения) и иными документами, необходимыми для санкционирования их оплаты.</w:t>
      </w:r>
      <w:proofErr w:type="gramEnd"/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Оформление Распоряжений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3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БК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нормативных правовых актов Министерства финансов Российской Федерации, Центрального Банка Российской Федерации,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Федерального казначейства,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исполнении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информационный обмен между клиентами и Администрацией сельского поселения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у клиента или Администрации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Документооборот при исполнении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54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5413C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IV. Санкционирование оплаты денежных обязатель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кл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иентов 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Администрация сельского поселения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Башкортостан, установленным Администрацией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оплаты денежных обязательств клиенты представляют в Администрацию сельского поселения</w:t>
      </w:r>
      <w:r w:rsidR="00013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 о совершении казначейских платежей, </w:t>
      </w:r>
      <w:hyperlink r:id="rId14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реквизиты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предусмотрены приложением N 1 к настоящему Порядку по форме, установленной </w:t>
      </w:r>
      <w:hyperlink r:id="rId15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6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Центрального банка Российской Федерации от 6 октября 2020 года N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735-П "О ведении Банком России и кредитными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r:id="rId17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реквизиты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предусмотрены приложением N 2 к настоящему Порядку.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принимает Распоряжения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8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013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Кигинский район Республики Башкортостан и администраторов источников финансирования дефицита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="00013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Кигинский район Республики Башкортостан, утвержденным постановлением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</w:t>
      </w:r>
      <w:r w:rsidR="00013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 xml:space="preserve">от 05.12.2019 года N 84А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Порядок санкционирования).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Администрация сельского поселения при постановке на учет бюджетных и денежных обязательств, а также при санкционировании оплаты денежных обязательств осуществляет контроль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непревышением</w:t>
      </w:r>
      <w:proofErr w:type="spell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кодам классификации расходов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Башкортостан;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соответствием информации, указанной в Распоряжении информации о денежном обязательстве;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наличием документов, подтверждающих возникновение денежного обязательства.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бюджетном обязательстве, возникшем на основании муниципального контракта, условиям муниципального контракта.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получателя средств лимитов бюджетных обязательств.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получателя средств бюджетных ассигнований.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администратора бюджетных ассигнований.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19" w:history="1">
        <w:r w:rsidRPr="000769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санкционирования.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перечислении денежных средств на банковские карты "Мир" физических лиц Администрацией сельского поселения осуществляется проверка на соответствие указанных в распоряжении о перечислении денежных средств на банковские карты "Мир" физических лиц кодов видов расходов кодам видов выплат.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V. Подтверждение исполнения денежных обязатель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кл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неденежных</w:t>
      </w:r>
      <w:proofErr w:type="spell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операций по исполнению денежных обязатель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кл</w:t>
      </w:r>
      <w:proofErr w:type="gramEnd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иентов.</w:t>
      </w:r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денежных средств в пользу физических или юридических лиц, бюджетов бюджетной системы Российской Федерации.</w:t>
      </w:r>
      <w:proofErr w:type="gramEnd"/>
    </w:p>
    <w:p w:rsidR="0007691F" w:rsidRPr="0007691F" w:rsidRDefault="0007691F" w:rsidP="0007691F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Оформление и выдача клиентам выписок из их лицевых счетов осуществляются Администрацией сельского поселения в соответствии с порядком открытия и ведения лицевых счетов в Администрации сельского поселения, установленном Администрацией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</w:t>
      </w:r>
      <w:hyperlink r:id="rId20" w:history="1">
        <w:r w:rsidRPr="0007691F">
          <w:rPr>
            <w:rFonts w:ascii="Times New Roman" w:eastAsiaTheme="minorHAnsi" w:hAnsi="Times New Roman" w:cs="Times New Roman"/>
            <w:lang w:eastAsia="en-US"/>
          </w:rPr>
          <w:t>N 1</w:t>
        </w:r>
      </w:hyperlink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к Порядку исполнения бюджета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lang w:eastAsia="en-US"/>
        </w:rPr>
        <w:t xml:space="preserve"> сельсовет 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муниципального района Кигинский район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Республики Башкортостан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по расходам и источникам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финансирования дефицита бюджета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lang w:eastAsia="en-US"/>
        </w:rPr>
        <w:t xml:space="preserve"> сельсовет 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муниципального района Кигинский район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 о совершении казначейского платежа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154"/>
        <w:gridCol w:w="6130"/>
      </w:tblGrid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Наименование реквизита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Значение реквизита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Наименование распоряжения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наименование распоряжения ПЛАТЕЖНОЕ ПОРУЧЕНИЕ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распоряжения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Дата составления распоряжения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Указываются в распоряжении день, месяц, год цифрами в формате ДД.ММ</w:t>
            </w: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.Г</w:t>
            </w:r>
            <w:proofErr w:type="gramEnd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ГГГ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Сумма прописью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Сумма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Плательщик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лицевого счета плательщика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лицевого счета плательщика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счета плательщика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ИНН плательщика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КПП плательщика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Получатель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полное или сокращенное наименование получателя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счета получателя средств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Банк получателя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БИК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счета обслуживающей организации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ИНН получателя средств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КПП получателя средств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Очередность платежа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очередность платежа цифрами в соответствии с Гражданским </w:t>
            </w:r>
            <w:hyperlink r:id="rId21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кодексом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Российской Федерации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Назначение платежа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уникальный идентификатор платежа в соответствии с </w:t>
            </w:r>
            <w:hyperlink r:id="rId22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Положением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Центрального банка Российской Федерации от 19 июня 2012 года N 383-П "О правилах осуществления перевода денежных средств".</w:t>
            </w:r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Учетный номер бюджетного </w:t>
            </w: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обязательства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Указывается номер бюджетного обязательства, присвоенный </w:t>
            </w: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 его постановке на учет.</w:t>
            </w:r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Код бюджетной классификации получателя средств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Вид документа-основания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документа-основания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Дата документа-основания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Допускается указание нескольких реквизитов в одном распоряжении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Предмет документа-основания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</w:t>
            </w: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обязательства (счет, накладная, акт выполненных работ, иное)</w:t>
            </w:r>
            <w:proofErr w:type="gramEnd"/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Статус плательщика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"101"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Код классификации доходов бюджетов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Код </w:t>
            </w:r>
            <w:hyperlink r:id="rId23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ОКТМО</w:t>
              </w:r>
            </w:hyperlink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Основание платежа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4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частью 1 статьи 8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Налоговый период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5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частью 1 статьи 8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Номер документа-основания платежа в бюджетную систему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6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частью 1 статьи 8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или</w:t>
            </w:r>
          </w:p>
        </w:tc>
        <w:tc>
          <w:tcPr>
            <w:tcW w:w="61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или</w:t>
            </w:r>
          </w:p>
        </w:tc>
      </w:tr>
      <w:tr w:rsidR="0007691F" w:rsidRPr="0007691F" w:rsidTr="00013B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Идентификатор плательщика</w:t>
            </w:r>
          </w:p>
        </w:tc>
        <w:tc>
          <w:tcPr>
            <w:tcW w:w="61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Дата документа-основания платежа в бюджетную систему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Код выплат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7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частями 5.5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hyperlink r:id="rId28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5.6 статьи 30.5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Федерального закона от 27 июня 2011 года N 161-ФЗ "О национальной платежной системе", указывается "1". В иных случаях значение реквизита не указывается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НДС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Должность руководителя (уполномоченного им лица)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Должность ответственного исполнителя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ФИО (отчество при наличии) ответственного исполнителя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07691F" w:rsidRPr="0007691F" w:rsidTr="00013B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М.П.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Место для оттиска печати плательщика.</w:t>
            </w:r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3BA1" w:rsidRPr="0007691F" w:rsidRDefault="00013BA1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lastRenderedPageBreak/>
        <w:t>Приложение N 2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 xml:space="preserve">к Порядку исполнения бюджета сельского поселения 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lang w:eastAsia="en-US"/>
        </w:rPr>
        <w:t xml:space="preserve"> сельсовет 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муниципального района Кигинский район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Республики Башкортостан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по расходам и источникам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финансирования дефицита бюджета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lang w:eastAsia="en-US"/>
        </w:rPr>
        <w:t>Душанбековский</w:t>
      </w:r>
      <w:r w:rsidRPr="0007691F">
        <w:rPr>
          <w:rFonts w:ascii="Times New Roman" w:eastAsiaTheme="minorHAnsi" w:hAnsi="Times New Roman" w:cs="Times New Roman"/>
          <w:lang w:eastAsia="en-US"/>
        </w:rPr>
        <w:t xml:space="preserve"> сельсовет 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 xml:space="preserve"> муниципального района Кигинский район</w:t>
      </w:r>
    </w:p>
    <w:p w:rsidR="0007691F" w:rsidRPr="0007691F" w:rsidRDefault="0007691F" w:rsidP="00013BA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lang w:eastAsia="en-US"/>
        </w:rPr>
        <w:t>Республики Башкортостан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7691F">
        <w:rPr>
          <w:rFonts w:ascii="Times New Roman" w:eastAsiaTheme="minorHAnsi" w:hAnsi="Times New Roman" w:cs="Times New Roman"/>
          <w:b/>
          <w:bCs/>
          <w:lang w:eastAsia="en-US"/>
        </w:rPr>
        <w:t>РЕКВИЗИТЫ</w:t>
      </w: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7691F">
        <w:rPr>
          <w:rFonts w:ascii="Times New Roman" w:eastAsiaTheme="minorHAnsi" w:hAnsi="Times New Roman" w:cs="Times New Roman"/>
          <w:b/>
          <w:bCs/>
          <w:lang w:eastAsia="en-US"/>
        </w:rPr>
        <w:t xml:space="preserve">РАСПОРЯЖЕНИЯ О ПЕРЕЧИСЛЕНИИ ДЕНЕЖНЫХ СРЕДСТВ </w:t>
      </w:r>
      <w:proofErr w:type="gramStart"/>
      <w:r w:rsidRPr="0007691F">
        <w:rPr>
          <w:rFonts w:ascii="Times New Roman" w:eastAsiaTheme="minorHAnsi" w:hAnsi="Times New Roman" w:cs="Times New Roman"/>
          <w:b/>
          <w:bCs/>
          <w:lang w:eastAsia="en-US"/>
        </w:rPr>
        <w:t>НА</w:t>
      </w:r>
      <w:proofErr w:type="gramEnd"/>
      <w:r w:rsidRPr="0007691F">
        <w:rPr>
          <w:rFonts w:ascii="Times New Roman" w:eastAsiaTheme="minorHAnsi" w:hAnsi="Times New Roman" w:cs="Times New Roman"/>
          <w:b/>
          <w:bCs/>
          <w:lang w:eastAsia="en-US"/>
        </w:rPr>
        <w:t xml:space="preserve"> БАНКОВСКИЕ</w:t>
      </w:r>
    </w:p>
    <w:p w:rsidR="0007691F" w:rsidRPr="0007691F" w:rsidRDefault="0007691F" w:rsidP="00013B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7691F">
        <w:rPr>
          <w:rFonts w:ascii="Times New Roman" w:eastAsiaTheme="minorHAnsi" w:hAnsi="Times New Roman" w:cs="Times New Roman"/>
          <w:b/>
          <w:bCs/>
          <w:lang w:eastAsia="en-US"/>
        </w:rPr>
        <w:t>КАРТЫ "МИР" ФИЗИЧЕСКИХ ЛИЦ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6322"/>
      </w:tblGrid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Наименование реквизита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Правила формирования, заполнения реквизита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1. Номер документа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2. Дата документа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3. Наименование клиента -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полное или сокращенное наименование клиента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4. Код по Сводному реестру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уникальный код в соответствии со Сводным реестром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5. Номер лицевого счета клиента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лицевого счета клиента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6. Наименование бюджета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наименование соответствующего бюджета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7. Аналитический код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- для оплаты денежных </w:t>
            </w: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обязательств получателей средств бюджета субъекта Российской</w:t>
            </w:r>
            <w:proofErr w:type="gramEnd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Федерации, в целях </w:t>
            </w:r>
            <w:proofErr w:type="spell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софинансирования</w:t>
            </w:r>
            <w:proofErr w:type="spellEnd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8. Вид документа-основания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вид документа-основания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9. Номер документа-основания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документа-основания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10. Дата документа-основания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дата документа-основания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11. Порядковый номер строки соответствующей выплаты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12. Номер банковской карты "Мир"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13. Дата рождения получателя денежных средств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при необходимости дата рождения получателя денежных средств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14. Код вида выплаты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вида выплаты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15. Сумма выплаты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16. Код вида дохода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соответствующий код вида дохода в соответствии с Федеральным </w:t>
            </w:r>
            <w:hyperlink r:id="rId29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законом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30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Положением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17. Сумма, взысканная по исполнительному документу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31" w:history="1">
              <w:r w:rsidRPr="0007691F">
                <w:rPr>
                  <w:rFonts w:ascii="Times New Roman" w:eastAsiaTheme="minorHAnsi" w:hAnsi="Times New Roman" w:cs="Times New Roman"/>
                  <w:lang w:eastAsia="en-US"/>
                </w:rPr>
                <w:t>законом</w:t>
              </w:r>
            </w:hyperlink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 xml:space="preserve"> "Об исполнительном производстве"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18. Код (коды) бюджетной классификации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код (коды) бюджетной классификации, по которому (которым) осуществляетс</w:t>
            </w:r>
            <w:proofErr w:type="gramStart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я(</w:t>
            </w:r>
            <w:proofErr w:type="spellStart"/>
            <w:proofErr w:type="gramEnd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ются</w:t>
            </w:r>
            <w:proofErr w:type="spellEnd"/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) выплаты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19. Сумма по коду бюджетной классификации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20. Сумма итого по коду бюджетной классификации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07691F" w:rsidRPr="0007691F" w:rsidTr="00013B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21. Сумма всего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1F" w:rsidRPr="0007691F" w:rsidRDefault="0007691F" w:rsidP="000769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691F">
              <w:rPr>
                <w:rFonts w:ascii="Times New Roman" w:eastAsiaTheme="minorHAnsi" w:hAnsi="Times New Roman" w:cs="Times New Roman"/>
                <w:lang w:eastAsia="en-US"/>
              </w:rPr>
              <w:t>Указывается общая сумма выплат по Распоряжению о перечислении</w:t>
            </w:r>
          </w:p>
        </w:tc>
      </w:tr>
    </w:tbl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91F" w:rsidRPr="0007691F" w:rsidRDefault="0007691F" w:rsidP="000769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73F4F" w:rsidRPr="0007691F" w:rsidRDefault="00473F4F" w:rsidP="0007691F">
      <w:pPr>
        <w:spacing w:line="240" w:lineRule="auto"/>
        <w:rPr>
          <w:rFonts w:ascii="Times New Roman" w:hAnsi="Times New Roman" w:cs="Times New Roman"/>
        </w:rPr>
      </w:pPr>
    </w:p>
    <w:sectPr w:rsidR="00473F4F" w:rsidRPr="0007691F" w:rsidSect="00CD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1F"/>
    <w:rsid w:val="00004F78"/>
    <w:rsid w:val="00013BA1"/>
    <w:rsid w:val="0007691F"/>
    <w:rsid w:val="00473F4F"/>
    <w:rsid w:val="005413C1"/>
    <w:rsid w:val="00CD69F5"/>
    <w:rsid w:val="00D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5"/>
  </w:style>
  <w:style w:type="paragraph" w:styleId="8">
    <w:name w:val="heading 8"/>
    <w:basedOn w:val="a"/>
    <w:next w:val="a"/>
    <w:link w:val="80"/>
    <w:semiHidden/>
    <w:unhideWhenUsed/>
    <w:qFormat/>
    <w:rsid w:val="0007691F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7691F"/>
    <w:rPr>
      <w:rFonts w:ascii="Arial New Bash" w:eastAsia="Times New Roman" w:hAnsi="Arial New Bash" w:cs="Times New Roman"/>
      <w:b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07691F"/>
    <w:rPr>
      <w:color w:val="0000FF"/>
      <w:u w:val="single"/>
    </w:rPr>
  </w:style>
  <w:style w:type="paragraph" w:customStyle="1" w:styleId="ConsPlusNormal">
    <w:name w:val="ConsPlusNormal"/>
    <w:rsid w:val="0007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1B63DB439204A12DC60EE51F75E2646E89FBA21AB23639F63EAB69A51F35A269926C742B352284E03585E10A56860FF2F706n9x7G" TargetMode="External"/><Relationship Id="rId13" Type="http://schemas.openxmlformats.org/officeDocument/2006/relationships/hyperlink" Target="consultantplus://offline/ref=9862FA29133F6BA0DD246768C364ADD8C5343A9C7C275F4EE79F2987C346B6EC624FC4253D76C9D40C1656CE2DPDyBG" TargetMode="External"/><Relationship Id="rId18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6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A0F54092089A8D1ED37733947011D1614E8BE6E8AF91082BB74438829CF5A6F957463DA3A8041C6F2B57BD4FyFyFG" TargetMode="External"/><Relationship Id="rId7" Type="http://schemas.openxmlformats.org/officeDocument/2006/relationships/hyperlink" Target="consultantplus://offline/ref=D311035DEA969D1E45EE056ECD2FCD0DA5249A02E51878B2393C8FACFD4AB46379B638FD2CE0123FF638D6387821686DC1B52686E816n5x5G" TargetMode="External"/><Relationship Id="rId12" Type="http://schemas.openxmlformats.org/officeDocument/2006/relationships/hyperlink" Target="consultantplus://offline/ref=9862FA29133F6BA0DD246768C364ADD8C5343A9C7C275F4EE79F2987C346B6EC704F9C2E3E7BD1DE5859109B22D87E2C4602F9BED81DPByFG" TargetMode="External"/><Relationship Id="rId17" Type="http://schemas.openxmlformats.org/officeDocument/2006/relationships/hyperlink" Target="consultantplus://offline/ref=9862FA29133F6BA0DD247965D508F2D1C13D66907C20521EBACD2FD09C16B0B9300F9A7C7F3BDAD40C0856CB2AD223630357EABDD101BCA09F626342P8y0G" TargetMode="External"/><Relationship Id="rId25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62FA29133F6BA0DD246768C364ADD8C23E3C9C7D205F4EE79F2987C346B6EC624FC4253D76C9D40C1656CE2DPDyBG" TargetMode="External"/><Relationship Id="rId20" Type="http://schemas.openxmlformats.org/officeDocument/2006/relationships/hyperlink" Target="consultantplus://offline/ref=88A0F54092089A8D1ED3693E821C4ED86544D5ECE9AC9C5B77E0426FDDCCF3F3AB171864E1E5171C6F3555B548F6B4537E4674BD8A4CD90C9FC16788y3y1G" TargetMode="External"/><Relationship Id="rId29" Type="http://schemas.openxmlformats.org/officeDocument/2006/relationships/hyperlink" Target="consultantplus://offline/ref=88A0F54092089A8D1ED37733947011D1614D89E0E9AE91082BB74438829CF5A6F957463DA3A8041C6F2B57BD4FyF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5249A02E51878B2393C8FACFD4AB46379B638FD2FE9153FF638D6387821686DC1B52686E816n5x5G" TargetMode="External"/><Relationship Id="rId11" Type="http://schemas.openxmlformats.org/officeDocument/2006/relationships/hyperlink" Target="consultantplus://offline/ref=702A4CECC7F6B8A3F598DB6275FB638ED9C4237AB9696E10CDA746162990C368F8752AEE542A9138C58F7E4412982BD4BF6E486786E0gA36M" TargetMode="External"/><Relationship Id="rId24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9862FA29133F6BA0DD246768C364ADD8C5373D957A225F4EE79F2987C346B6EC624FC4253D76C9D40C1656CE2DPDyBG" TargetMode="External"/><Relationship Id="rId23" Type="http://schemas.openxmlformats.org/officeDocument/2006/relationships/hyperlink" Target="consultantplus://offline/ref=88A0F54092089A8D1ED37733947011D1644A8BE6EAAC91082BB74438829CF5A6EB571E31A2A11A1C6F3E01EC09A8ED03330D78BC9D50D80Ey8y3G" TargetMode="External"/><Relationship Id="rId28" Type="http://schemas.openxmlformats.org/officeDocument/2006/relationships/hyperlink" Target="consultantplus://offline/ref=88A0F54092089A8D1ED37733947011D1614E88E3EBAB91082BB74438829CF5A6EB571E32A3A911493E7100B04CF4FE033A0D7BBC81y5y0G" TargetMode="External"/><Relationship Id="rId10" Type="http://schemas.openxmlformats.org/officeDocument/2006/relationships/hyperlink" Target="consultantplus://offline/ref=702A4CECC7F6B8A3F598DB6275FB638ED9C4237AB9696E10CDA746162990C368F8752AEE57239638C58F7E4412982BD4BF6E486786E0gA36M" TargetMode="External"/><Relationship Id="rId19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31" Type="http://schemas.openxmlformats.org/officeDocument/2006/relationships/hyperlink" Target="consultantplus://offline/ref=88A0F54092089A8D1ED37733947011D1614D89E0E9AE91082BB74438829CF5A6F957463DA3A8041C6F2B57BD4FyFyF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kigi.ru/?p=4617" TargetMode="External"/><Relationship Id="rId14" Type="http://schemas.openxmlformats.org/officeDocument/2006/relationships/hyperlink" Target="consultantplus://offline/ref=9862FA29133F6BA0DD247965D508F2D1C13D66907C20521EBACD2FD09C16B0B9300F9A7C7F3BDAD40C0854C729D223630357EABDD101BCA09F626342P8y0G" TargetMode="External"/><Relationship Id="rId22" Type="http://schemas.openxmlformats.org/officeDocument/2006/relationships/hyperlink" Target="consultantplus://offline/ref=88A0F54092089A8D1ED37733947011D1664E8EE1E0AA91082BB74438829CF5A6F957463DA3A8041C6F2B57BD4FyFyFG" TargetMode="External"/><Relationship Id="rId27" Type="http://schemas.openxmlformats.org/officeDocument/2006/relationships/hyperlink" Target="consultantplus://offline/ref=88A0F54092089A8D1ED37733947011D1614E88E3EBAB91082BB74438829CF5A6EB571E31A1A711493E7100B04CF4FE033A0D7BBC81y5y0G" TargetMode="External"/><Relationship Id="rId30" Type="http://schemas.openxmlformats.org/officeDocument/2006/relationships/hyperlink" Target="consultantplus://offline/ref=88A0F54092089A8D1ED37733947011D1614E8EE9EFAE91082BB74438829CF5A6F957463DA3A8041C6F2B57BD4FyF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2023-01-31T07:12:00Z</cp:lastPrinted>
  <dcterms:created xsi:type="dcterms:W3CDTF">2023-01-31T06:20:00Z</dcterms:created>
  <dcterms:modified xsi:type="dcterms:W3CDTF">2023-01-31T07:12:00Z</dcterms:modified>
</cp:coreProperties>
</file>